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6C6" w:rsidRDefault="00B256C6" w:rsidP="00B256C6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38"/>
      </w:tblGrid>
      <w:tr w:rsidR="00B256C6" w:rsidTr="002115BB">
        <w:tc>
          <w:tcPr>
            <w:tcW w:w="9838" w:type="dxa"/>
            <w:tcBorders>
              <w:top w:val="single" w:sz="40" w:space="0" w:color="808000"/>
              <w:left w:val="single" w:sz="40" w:space="0" w:color="808000"/>
              <w:bottom w:val="single" w:sz="40" w:space="0" w:color="808000"/>
              <w:right w:val="single" w:sz="40" w:space="0" w:color="808000"/>
            </w:tcBorders>
            <w:shd w:val="clear" w:color="auto" w:fill="99CC99"/>
          </w:tcPr>
          <w:p w:rsidR="00B256C6" w:rsidRDefault="00B256C6" w:rsidP="002115BB">
            <w:pPr>
              <w:jc w:val="center"/>
            </w:pPr>
            <w:r>
              <w:rPr>
                <w:rFonts w:ascii="Avenir Black" w:hAnsi="Avenir Black" w:cs="Avenir Black"/>
                <w:b/>
                <w:bCs/>
                <w:color w:val="006600"/>
                <w:sz w:val="52"/>
                <w:szCs w:val="52"/>
              </w:rPr>
              <w:t>SÉMINAIRE CEIIBA</w:t>
            </w:r>
          </w:p>
        </w:tc>
      </w:tr>
    </w:tbl>
    <w:p w:rsidR="00B256C6" w:rsidRDefault="00B256C6" w:rsidP="00B256C6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</w:p>
    <w:p w:rsidR="00B256C6" w:rsidRDefault="00B256C6" w:rsidP="00B256C6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  <w:r>
        <w:rPr>
          <w:rFonts w:ascii="Avenir Black" w:hAnsi="Avenir Black" w:cs="Avenir Black"/>
          <w:b/>
          <w:bCs/>
          <w:sz w:val="40"/>
          <w:szCs w:val="40"/>
        </w:rPr>
        <w:t>ANDREA OSTROV</w:t>
      </w:r>
    </w:p>
    <w:p w:rsidR="00B256C6" w:rsidRDefault="00B256C6" w:rsidP="00B256C6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  <w:r>
        <w:rPr>
          <w:rFonts w:ascii="Avenir Black" w:hAnsi="Avenir Black" w:cs="Avenir Black"/>
          <w:b/>
          <w:bCs/>
          <w:sz w:val="40"/>
          <w:szCs w:val="40"/>
        </w:rPr>
        <w:t>(</w:t>
      </w:r>
      <w:proofErr w:type="spellStart"/>
      <w:r>
        <w:rPr>
          <w:rFonts w:ascii="Avenir Black" w:hAnsi="Avenir Black" w:cs="Avenir Black"/>
          <w:b/>
          <w:bCs/>
          <w:sz w:val="40"/>
          <w:szCs w:val="40"/>
        </w:rPr>
        <w:t>Universidad</w:t>
      </w:r>
      <w:proofErr w:type="spellEnd"/>
      <w:r>
        <w:rPr>
          <w:rFonts w:ascii="Avenir Black" w:hAnsi="Avenir Black" w:cs="Avenir Black"/>
          <w:b/>
          <w:bCs/>
          <w:sz w:val="40"/>
          <w:szCs w:val="40"/>
        </w:rPr>
        <w:t xml:space="preserve"> de Buenos Aires-CONICET)</w:t>
      </w:r>
    </w:p>
    <w:p w:rsidR="00B256C6" w:rsidRDefault="00B256C6" w:rsidP="00B256C6">
      <w:pPr>
        <w:jc w:val="center"/>
      </w:pPr>
    </w:p>
    <w:p w:rsidR="00B256C6" w:rsidRDefault="00B256C6" w:rsidP="00B256C6">
      <w:pPr>
        <w:jc w:val="center"/>
        <w:rPr>
          <w:rFonts w:ascii="Chalkduster" w:hAnsi="Chalkduster" w:cs="Chalkduster"/>
          <w:b/>
          <w:bCs/>
          <w:sz w:val="40"/>
          <w:szCs w:val="40"/>
        </w:rPr>
      </w:pPr>
    </w:p>
    <w:p w:rsidR="00B256C6" w:rsidRPr="00B256C6" w:rsidRDefault="00B256C6" w:rsidP="00B256C6">
      <w:pPr>
        <w:rPr>
          <w:rFonts w:ascii="Avenir Black" w:hAnsi="Avenir Black" w:cs="Avenir Black"/>
          <w:b/>
          <w:bCs/>
          <w:sz w:val="36"/>
          <w:szCs w:val="36"/>
        </w:rPr>
      </w:pPr>
      <w:r w:rsidRPr="00296C02">
        <w:rPr>
          <w:rFonts w:ascii="Chalkduster" w:hAnsi="Chalkduster" w:cs="Chalkduster"/>
          <w:b/>
          <w:bCs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7CA14F1">
            <wp:simplePos x="716096" y="3161841"/>
            <wp:positionH relativeFrom="column">
              <wp:align>left</wp:align>
            </wp:positionH>
            <wp:positionV relativeFrom="paragraph">
              <wp:align>top</wp:align>
            </wp:positionV>
            <wp:extent cx="3194892" cy="2279502"/>
            <wp:effectExtent l="0" t="0" r="571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892" cy="227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256C6">
        <w:rPr>
          <w:rFonts w:ascii="Avenir Next" w:hAnsi="Avenir Next" w:cs="Times New Roman"/>
          <w:b/>
          <w:bCs/>
          <w:sz w:val="36"/>
          <w:szCs w:val="36"/>
        </w:rPr>
        <w:t>Intersecciones</w:t>
      </w:r>
      <w:proofErr w:type="spellEnd"/>
      <w:r w:rsidRPr="00B256C6">
        <w:rPr>
          <w:rFonts w:ascii="Avenir Next" w:hAnsi="Avenir Next" w:cs="Times New Roman"/>
          <w:b/>
          <w:bCs/>
          <w:sz w:val="36"/>
          <w:szCs w:val="36"/>
        </w:rPr>
        <w:t xml:space="preserve"> </w:t>
      </w:r>
      <w:proofErr w:type="spellStart"/>
      <w:r w:rsidRPr="00B256C6">
        <w:rPr>
          <w:rFonts w:ascii="Avenir Next" w:hAnsi="Avenir Next" w:cs="Times New Roman"/>
          <w:b/>
          <w:bCs/>
          <w:sz w:val="36"/>
          <w:szCs w:val="36"/>
        </w:rPr>
        <w:t>del</w:t>
      </w:r>
      <w:proofErr w:type="spellEnd"/>
      <w:r w:rsidRPr="00B256C6">
        <w:rPr>
          <w:rFonts w:ascii="Avenir Next" w:hAnsi="Avenir Next" w:cs="Times New Roman"/>
          <w:b/>
          <w:bCs/>
          <w:sz w:val="36"/>
          <w:szCs w:val="36"/>
        </w:rPr>
        <w:t xml:space="preserve"> </w:t>
      </w:r>
      <w:proofErr w:type="spellStart"/>
      <w:r w:rsidRPr="00B256C6">
        <w:rPr>
          <w:rFonts w:ascii="Avenir Next" w:hAnsi="Avenir Next" w:cs="Times New Roman"/>
          <w:b/>
          <w:bCs/>
          <w:sz w:val="36"/>
          <w:szCs w:val="36"/>
        </w:rPr>
        <w:t>género</w:t>
      </w:r>
      <w:proofErr w:type="spellEnd"/>
      <w:r w:rsidRPr="00B256C6">
        <w:rPr>
          <w:rFonts w:ascii="Avenir Next" w:hAnsi="Avenir Next" w:cs="Times New Roman"/>
          <w:b/>
          <w:bCs/>
          <w:sz w:val="36"/>
          <w:szCs w:val="36"/>
        </w:rPr>
        <w:t>.</w:t>
      </w:r>
    </w:p>
    <w:p w:rsidR="00B256C6" w:rsidRPr="00B256C6" w:rsidRDefault="00B256C6" w:rsidP="00B256C6">
      <w:pPr>
        <w:spacing w:line="276" w:lineRule="auto"/>
        <w:rPr>
          <w:rFonts w:ascii="Avenir Next" w:hAnsi="Avenir Next" w:cs="Times New Roman"/>
          <w:b/>
          <w:bCs/>
          <w:sz w:val="28"/>
          <w:szCs w:val="28"/>
        </w:rPr>
      </w:pPr>
      <w:r w:rsidRPr="00B256C6">
        <w:rPr>
          <w:rFonts w:ascii="Avenir Next" w:hAnsi="Avenir Next" w:cs="Times New Roman"/>
          <w:b/>
          <w:bCs/>
          <w:sz w:val="28"/>
          <w:szCs w:val="28"/>
        </w:rPr>
        <w:t xml:space="preserve">Clase, </w:t>
      </w:r>
      <w:proofErr w:type="spellStart"/>
      <w:r w:rsidRPr="00B256C6">
        <w:rPr>
          <w:rFonts w:ascii="Avenir Next" w:hAnsi="Avenir Next" w:cs="Times New Roman"/>
          <w:b/>
          <w:bCs/>
          <w:sz w:val="28"/>
          <w:szCs w:val="28"/>
        </w:rPr>
        <w:t>raza</w:t>
      </w:r>
      <w:proofErr w:type="spellEnd"/>
      <w:r w:rsidRPr="00B256C6">
        <w:rPr>
          <w:rFonts w:ascii="Avenir Next" w:hAnsi="Avenir Next" w:cs="Times New Roman"/>
          <w:b/>
          <w:bCs/>
          <w:sz w:val="28"/>
          <w:szCs w:val="28"/>
        </w:rPr>
        <w:t xml:space="preserve">, </w:t>
      </w:r>
      <w:proofErr w:type="spellStart"/>
      <w:r w:rsidRPr="00B256C6">
        <w:rPr>
          <w:rFonts w:ascii="Avenir Next" w:hAnsi="Avenir Next" w:cs="Times New Roman"/>
          <w:b/>
          <w:bCs/>
          <w:sz w:val="28"/>
          <w:szCs w:val="28"/>
        </w:rPr>
        <w:t>enfermedad</w:t>
      </w:r>
      <w:proofErr w:type="spellEnd"/>
      <w:r w:rsidRPr="00B256C6">
        <w:rPr>
          <w:rFonts w:ascii="Avenir Next" w:hAnsi="Avenir Next" w:cs="Times New Roman"/>
          <w:b/>
          <w:bCs/>
          <w:sz w:val="28"/>
          <w:szCs w:val="28"/>
        </w:rPr>
        <w:t xml:space="preserve">, </w:t>
      </w:r>
      <w:proofErr w:type="spellStart"/>
      <w:r w:rsidRPr="00B256C6">
        <w:rPr>
          <w:rFonts w:ascii="Avenir Next" w:hAnsi="Avenir Next" w:cs="Times New Roman"/>
          <w:b/>
          <w:bCs/>
          <w:sz w:val="28"/>
          <w:szCs w:val="28"/>
        </w:rPr>
        <w:t>marginalidad</w:t>
      </w:r>
      <w:proofErr w:type="spellEnd"/>
      <w:r w:rsidRPr="00B256C6">
        <w:rPr>
          <w:rFonts w:ascii="Avenir Next" w:hAnsi="Avenir Next" w:cs="Times New Roman"/>
          <w:b/>
          <w:bCs/>
          <w:sz w:val="28"/>
          <w:szCs w:val="28"/>
        </w:rPr>
        <w:t xml:space="preserve"> y </w:t>
      </w:r>
      <w:proofErr w:type="spellStart"/>
      <w:r w:rsidRPr="00B256C6">
        <w:rPr>
          <w:rFonts w:ascii="Avenir Next" w:hAnsi="Avenir Next" w:cs="Times New Roman"/>
          <w:b/>
          <w:bCs/>
          <w:sz w:val="28"/>
          <w:szCs w:val="28"/>
        </w:rPr>
        <w:t>ciudadanía</w:t>
      </w:r>
      <w:proofErr w:type="spellEnd"/>
      <w:r w:rsidRPr="00B256C6">
        <w:rPr>
          <w:rFonts w:ascii="Avenir Next" w:hAnsi="Avenir Next" w:cs="Times New Roman"/>
          <w:b/>
          <w:bCs/>
          <w:sz w:val="28"/>
          <w:szCs w:val="28"/>
        </w:rPr>
        <w:t xml:space="preserve"> </w:t>
      </w:r>
    </w:p>
    <w:p w:rsidR="00B256C6" w:rsidRPr="00B256C6" w:rsidRDefault="00B256C6" w:rsidP="00B256C6">
      <w:pPr>
        <w:spacing w:line="276" w:lineRule="auto"/>
        <w:rPr>
          <w:rFonts w:ascii="Avenir Next" w:hAnsi="Avenir Next" w:cs="Times New Roman"/>
          <w:b/>
          <w:bCs/>
          <w:sz w:val="36"/>
          <w:szCs w:val="36"/>
        </w:rPr>
      </w:pPr>
      <w:proofErr w:type="gramStart"/>
      <w:r w:rsidRPr="00B256C6">
        <w:rPr>
          <w:rFonts w:ascii="Avenir Next" w:hAnsi="Avenir Next" w:cs="Times New Roman"/>
          <w:b/>
          <w:bCs/>
          <w:sz w:val="36"/>
          <w:szCs w:val="36"/>
        </w:rPr>
        <w:t>en</w:t>
      </w:r>
      <w:proofErr w:type="gramEnd"/>
      <w:r w:rsidRPr="00B256C6">
        <w:rPr>
          <w:rFonts w:ascii="Avenir Next" w:hAnsi="Avenir Next" w:cs="Times New Roman"/>
          <w:b/>
          <w:bCs/>
          <w:sz w:val="36"/>
          <w:szCs w:val="36"/>
        </w:rPr>
        <w:t xml:space="preserve"> las </w:t>
      </w:r>
      <w:proofErr w:type="spellStart"/>
      <w:r w:rsidRPr="00B256C6">
        <w:rPr>
          <w:rFonts w:ascii="Avenir Next" w:hAnsi="Avenir Next" w:cs="Times New Roman"/>
          <w:b/>
          <w:bCs/>
          <w:sz w:val="36"/>
          <w:szCs w:val="36"/>
        </w:rPr>
        <w:t>crónicas</w:t>
      </w:r>
      <w:proofErr w:type="spellEnd"/>
      <w:r w:rsidRPr="00B256C6">
        <w:rPr>
          <w:rFonts w:ascii="Avenir Next" w:hAnsi="Avenir Next" w:cs="Times New Roman"/>
          <w:b/>
          <w:bCs/>
          <w:sz w:val="36"/>
          <w:szCs w:val="36"/>
        </w:rPr>
        <w:t xml:space="preserve"> de Pedro </w:t>
      </w:r>
      <w:proofErr w:type="spellStart"/>
      <w:r w:rsidRPr="00B256C6">
        <w:rPr>
          <w:rFonts w:ascii="Avenir Next" w:hAnsi="Avenir Next" w:cs="Times New Roman"/>
          <w:b/>
          <w:bCs/>
          <w:sz w:val="36"/>
          <w:szCs w:val="36"/>
        </w:rPr>
        <w:t>Lemebel</w:t>
      </w:r>
      <w:proofErr w:type="spellEnd"/>
    </w:p>
    <w:p w:rsidR="00B256C6" w:rsidRDefault="00B256C6" w:rsidP="00B256C6">
      <w:pPr>
        <w:tabs>
          <w:tab w:val="center" w:pos="2209"/>
        </w:tabs>
        <w:rPr>
          <w:rFonts w:ascii="Avenir Black" w:hAnsi="Avenir Black" w:cs="Avenir Black"/>
          <w:b/>
          <w:bCs/>
          <w:sz w:val="36"/>
          <w:szCs w:val="36"/>
        </w:rPr>
      </w:pPr>
      <w:r>
        <w:rPr>
          <w:rFonts w:ascii="Avenir Black" w:hAnsi="Avenir Black" w:cs="Avenir Black"/>
          <w:b/>
          <w:bCs/>
          <w:sz w:val="36"/>
          <w:szCs w:val="36"/>
        </w:rPr>
        <w:br w:type="textWrapping" w:clear="all"/>
      </w:r>
    </w:p>
    <w:p w:rsidR="00B256C6" w:rsidRDefault="00B256C6" w:rsidP="00B256C6">
      <w:pPr>
        <w:rPr>
          <w:rFonts w:ascii="Avenir Black" w:hAnsi="Avenir Black" w:cs="Avenir Black"/>
          <w:b/>
          <w:bCs/>
          <w:sz w:val="40"/>
          <w:szCs w:val="40"/>
        </w:rPr>
      </w:pPr>
      <w:r w:rsidRPr="002C75A4">
        <w:rPr>
          <w:rFonts w:ascii="Avenir Black" w:hAnsi="Avenir Black" w:cs="Avenir Black"/>
          <w:b/>
          <w:bCs/>
          <w:sz w:val="40"/>
          <w:szCs w:val="40"/>
        </w:rPr>
        <w:t>14 et 28 janvier, 16h – 18h 30, salle D155 (MDR)</w:t>
      </w:r>
    </w:p>
    <w:p w:rsidR="00B256C6" w:rsidRDefault="00B256C6" w:rsidP="00B256C6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</w:p>
    <w:p w:rsidR="00B256C6" w:rsidRPr="00B256C6" w:rsidRDefault="00B256C6" w:rsidP="00B256C6">
      <w:pPr>
        <w:jc w:val="both"/>
        <w:rPr>
          <w:rFonts w:ascii="Avenir Medium" w:hAnsi="Avenir Medium" w:cs="Times New Roman"/>
          <w:b/>
          <w:bCs/>
          <w:sz w:val="36"/>
          <w:szCs w:val="36"/>
          <w:lang w:val="es-ES"/>
        </w:rPr>
      </w:pPr>
      <w:r w:rsidRPr="00B256C6">
        <w:rPr>
          <w:rFonts w:ascii="Avenir Medium" w:hAnsi="Avenir Medium" w:cs="Times New Roman"/>
          <w:b/>
          <w:bCs/>
          <w:sz w:val="36"/>
          <w:szCs w:val="36"/>
          <w:lang w:val="es-ES"/>
        </w:rPr>
        <w:t>Objetivos: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>El seminario se propone indagar en la noción de "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interseccionalidad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" como categoría teórica fundamental para el abordaje de la representación de las identidades en la literatura latinoamericana contemporánea. Se trata de un concepto que posibilita iluminar las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sobredeterminaciones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y entrecruzamientos múltiples que intervienen en la configuración de las identidades "desobedientes" respecto del modelo hegemónico euro-descendiente- blanco- heterosexual- letrado- propietario. La otredad latinoamericana –entendida como una sumatoria de diferencias que se potencian y resignifican entre sí– ha sido negada y expulsada desde la conquista hasta la actualidad en tanto exterioridad constitutiva de la razón europea que aún sostiene la "comunidad imaginada" de nuestros estados-nación. Consiguientemente, la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interseccionalidad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constituye una herramienta crítica de suma productividad para el análisis de la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textualidad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</w:t>
      </w:r>
      <w:r w:rsidRPr="00B256C6">
        <w:rPr>
          <w:rFonts w:ascii="Avenir Medium" w:hAnsi="Avenir Medium" w:cs="Times New Roman"/>
          <w:sz w:val="28"/>
          <w:szCs w:val="28"/>
          <w:lang w:val="es-ES"/>
        </w:rPr>
        <w:lastRenderedPageBreak/>
        <w:t xml:space="preserve">latinoamericana más actual, en la medida en que establece constelaciones con una serie de conceptos teóricos nodales tales como Homo sacer; nuda vida; vida precaria;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performatividad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; ciudadanía; estado nación;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biopolítica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;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colonialidad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; copia-modelo-simulacro;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communitas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;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immunitas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>, entre otros.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</w:p>
    <w:p w:rsidR="00B256C6" w:rsidRPr="00B256C6" w:rsidRDefault="00B256C6" w:rsidP="00B256C6">
      <w:pPr>
        <w:jc w:val="both"/>
        <w:rPr>
          <w:rFonts w:ascii="Avenir Medium" w:hAnsi="Avenir Medium" w:cs="Times New Roman"/>
          <w:b/>
          <w:bCs/>
          <w:sz w:val="36"/>
          <w:szCs w:val="36"/>
          <w:lang w:val="es-ES"/>
        </w:rPr>
      </w:pPr>
      <w:r w:rsidRPr="00B256C6">
        <w:rPr>
          <w:rFonts w:ascii="Avenir Medium" w:hAnsi="Avenir Medium" w:cs="Times New Roman"/>
          <w:b/>
          <w:bCs/>
          <w:sz w:val="36"/>
          <w:szCs w:val="36"/>
          <w:lang w:val="es-ES"/>
        </w:rPr>
        <w:t>Contenidos: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>1. Primer encuentro: martes 14 de enero de 16h a 18h 30.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Explicitación y discusión de los conceptos y categorías teóricas arriba mencionados. Justificación de su pertinencia para el abordaje de las representaciones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identitarias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latinoamericanas.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>2. Segundo encuentro: martes 28 de enero de 16h a 18h 30.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A partir de una selección de crónicas de Loco afán. Crónicas de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sidario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(1997) del escritor chileno Pedro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Lemebel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se trabajará la figura de la "loca" como cifra de identidad latinoamericana. El abordaje textual se centrará fundamentalmente en la reformulación latinoamericana del modelo gay; la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performatividad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y los modelos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identificatorios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que intervienen en la construcción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citacional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del género; las implicancias ideológicas y culturales de estos modelos; la puesta en cuestión de la noción de "original", el valor de la copia y la función crítica del simulacro; la funcionalidad literaria de la travesti; la dimensión política de la enfermedad; procedimientos, crítica situada y propuesta descolonizadora. 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>Corpus: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Lemebel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, Pedro. Loco afán. Crónicas de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sidario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. Barcelona: Anagrama, 1996.  (Selección: "La noche de los visones"; "La muerte de Madonna"; "El último beso de Loba Lamar"; "La </w:t>
      </w:r>
      <w:proofErr w:type="spellStart"/>
      <w:r w:rsidRPr="00B256C6">
        <w:rPr>
          <w:rFonts w:ascii="Avenir Medium" w:hAnsi="Avenir Medium" w:cs="Times New Roman"/>
          <w:sz w:val="28"/>
          <w:szCs w:val="28"/>
          <w:lang w:val="es-ES"/>
        </w:rPr>
        <w:t>Régine</w:t>
      </w:r>
      <w:proofErr w:type="spellEnd"/>
      <w:r w:rsidRPr="00B256C6">
        <w:rPr>
          <w:rFonts w:ascii="Avenir Medium" w:hAnsi="Avenir Medium" w:cs="Times New Roman"/>
          <w:sz w:val="28"/>
          <w:szCs w:val="28"/>
          <w:lang w:val="es-ES"/>
        </w:rPr>
        <w:t xml:space="preserve"> de Aluminios El mono"; "Los mil nombres de María Camaleón" 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  <w:r w:rsidRPr="00B256C6">
        <w:rPr>
          <w:rFonts w:ascii="Avenir Medium" w:hAnsi="Avenir Medium" w:cs="Times New Roman"/>
          <w:sz w:val="28"/>
          <w:szCs w:val="28"/>
          <w:lang w:val="es-ES"/>
        </w:rPr>
        <w:t>Bibliografía básica:</w:t>
      </w:r>
    </w:p>
    <w:p w:rsidR="00B256C6" w:rsidRPr="00B256C6" w:rsidRDefault="00B256C6" w:rsidP="00B256C6">
      <w:pPr>
        <w:jc w:val="both"/>
        <w:rPr>
          <w:rFonts w:ascii="Avenir Medium" w:hAnsi="Avenir Medium" w:cs="Times New Roman"/>
          <w:sz w:val="28"/>
          <w:szCs w:val="28"/>
          <w:lang w:val="es-ES"/>
        </w:rPr>
      </w:pP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Agamben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Giorgio. "El campo de concentración como paradigma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biopolítico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de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lomoderno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". Homo Sacer. El poder soberano y la nuda vida [1995]. Valencia: Pre-Textos, 2006.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Agamben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Giorgio. Estado de excepción [2003]. Buenos Aires: Adriana Hidalgo, 2010.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Balibar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Etienne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. "Violencia, Política, Civilidad". Ciencia Política, Vol. 10, Nº </w:t>
      </w:r>
      <w:r w:rsidRPr="00B256C6">
        <w:rPr>
          <w:rFonts w:ascii="Avenir Medium" w:hAnsi="Avenir Medium"/>
          <w:sz w:val="28"/>
          <w:szCs w:val="28"/>
          <w:lang w:val="es-ES"/>
        </w:rPr>
        <w:lastRenderedPageBreak/>
        <w:t>19 (</w:t>
      </w:r>
      <w:proofErr w:type="gramStart"/>
      <w:r w:rsidRPr="00B256C6">
        <w:rPr>
          <w:rFonts w:ascii="Avenir Medium" w:hAnsi="Avenir Medium"/>
          <w:sz w:val="28"/>
          <w:szCs w:val="28"/>
          <w:lang w:val="es-ES"/>
        </w:rPr>
        <w:t>Enero</w:t>
      </w:r>
      <w:proofErr w:type="gramEnd"/>
      <w:r w:rsidRPr="00B256C6">
        <w:rPr>
          <w:rFonts w:ascii="Avenir Medium" w:hAnsi="Avenir Medium"/>
          <w:sz w:val="28"/>
          <w:szCs w:val="28"/>
          <w:lang w:val="es-ES"/>
        </w:rPr>
        <w:t xml:space="preserve"> -Junio 2015): 45-67.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Balibar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Étienne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. Ciudadanía [2012]. Buenos Aires: Adriana Hidalgo, 2013.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Balibar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Étienne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. Violencias, identidades y civilidad. Para una cultura política global [1997</w:t>
      </w:r>
      <w:proofErr w:type="gramStart"/>
      <w:r w:rsidRPr="00B256C6">
        <w:rPr>
          <w:rFonts w:ascii="Avenir Medium" w:hAnsi="Avenir Medium"/>
          <w:sz w:val="28"/>
          <w:szCs w:val="28"/>
          <w:lang w:val="es-ES"/>
        </w:rPr>
        <w:t>].Barcelona</w:t>
      </w:r>
      <w:proofErr w:type="gramEnd"/>
      <w:r w:rsidRPr="00B256C6">
        <w:rPr>
          <w:rFonts w:ascii="Avenir Medium" w:hAnsi="Avenir Medium"/>
          <w:sz w:val="28"/>
          <w:szCs w:val="28"/>
          <w:lang w:val="es-ES"/>
        </w:rPr>
        <w:t xml:space="preserve">: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Gedisa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2005.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 xml:space="preserve">Balza, Isabel. "Ciudadanía y nuevas identidades de género: sobre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biopolítica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y teoría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queer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". Res Publica. Revista de Filosofía política. Suplemento I (2009): 231-238.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 xml:space="preserve">Butler, Judith. "Actos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performativos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y constitución del género: un ensayo sobre fenomenología y teoría feminista". Debate feminista, Año 9, Vol. Nº 18 (1998): 296-314.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>Butler, Judith. Vida precaria. El poder del duelo y la violencia [2004]. Buenos Aires: Paidós, 2009.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Cho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Sumi;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Kimberlé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Williams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Crenshaw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y Leslie Mc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Call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. "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Toward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a Field of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Intersectionality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Studies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: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Theory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Applications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and Praxis".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Signs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: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Journal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of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Women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in Culture and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Society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vol. 38, no. 4 (2013): 785-810.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Crenshaw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Kimberlé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W. "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Mapping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the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Margins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: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Intersectionality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Identity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Politics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and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Violence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against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Women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of Color". Stanford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Law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Review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43 (6) (1991): 1241-1299.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 xml:space="preserve">Espósito, Roberto. El dispositivo de la persona. Buenos Aires: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Amorrortu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2011.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>Foucault, Michel. Seguridad, territorio, población [2004]. Buenos Aires, FCE, 2006.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Giorgi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, Gabriel y Fermín Rodríguez (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comps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.). Ensayos sobre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biopolítica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. Excesos de vida. Buenos Aires: Paidós, 2007.</w:t>
      </w:r>
    </w:p>
    <w:p w:rsidR="00B256C6" w:rsidRPr="00B256C6" w:rsidRDefault="00B256C6" w:rsidP="00B256C6">
      <w:pPr>
        <w:ind w:left="708" w:hanging="708"/>
        <w:jc w:val="both"/>
        <w:rPr>
          <w:rFonts w:ascii="Avenir Medium" w:hAnsi="Avenir Medium"/>
          <w:sz w:val="28"/>
          <w:szCs w:val="28"/>
          <w:lang w:val="es-ES"/>
        </w:rPr>
      </w:pPr>
      <w:r w:rsidRPr="00B256C6">
        <w:rPr>
          <w:rFonts w:ascii="Avenir Medium" w:hAnsi="Avenir Medium"/>
          <w:sz w:val="28"/>
          <w:szCs w:val="28"/>
          <w:lang w:val="es-ES"/>
        </w:rPr>
        <w:t xml:space="preserve">Viveros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Vigoya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 xml:space="preserve">, Mara. "La </w:t>
      </w:r>
      <w:proofErr w:type="spellStart"/>
      <w:r w:rsidRPr="00B256C6">
        <w:rPr>
          <w:rFonts w:ascii="Avenir Medium" w:hAnsi="Avenir Medium"/>
          <w:sz w:val="28"/>
          <w:szCs w:val="28"/>
          <w:lang w:val="es-ES"/>
        </w:rPr>
        <w:t>interseccionalidad</w:t>
      </w:r>
      <w:proofErr w:type="spellEnd"/>
      <w:r w:rsidRPr="00B256C6">
        <w:rPr>
          <w:rFonts w:ascii="Avenir Medium" w:hAnsi="Avenir Medium"/>
          <w:sz w:val="28"/>
          <w:szCs w:val="28"/>
          <w:lang w:val="es-ES"/>
        </w:rPr>
        <w:t>: una aproximación situada a la dominación". Debate Feminista 52 (2016): 1-17.</w:t>
      </w:r>
    </w:p>
    <w:p w:rsidR="00B256C6" w:rsidRPr="00B256C6" w:rsidRDefault="00B256C6" w:rsidP="00B256C6">
      <w:pPr>
        <w:jc w:val="both"/>
        <w:rPr>
          <w:sz w:val="28"/>
          <w:szCs w:val="28"/>
          <w:lang w:val="es-ES"/>
        </w:rPr>
      </w:pPr>
    </w:p>
    <w:p w:rsidR="00B256C6" w:rsidRPr="00B256C6" w:rsidRDefault="00B256C6" w:rsidP="00B256C6">
      <w:pPr>
        <w:jc w:val="both"/>
        <w:rPr>
          <w:rFonts w:ascii="Avenir Black" w:hAnsi="Avenir Black" w:cs="Avenir Black"/>
          <w:b/>
          <w:bCs/>
          <w:sz w:val="28"/>
          <w:szCs w:val="28"/>
        </w:rPr>
      </w:pPr>
    </w:p>
    <w:p w:rsidR="00B256C6" w:rsidRDefault="00B256C6" w:rsidP="00B256C6">
      <w:pPr>
        <w:jc w:val="both"/>
        <w:rPr>
          <w:rFonts w:ascii="Avenir Black" w:hAnsi="Avenir Black" w:cs="Avenir Black"/>
          <w:b/>
          <w:bCs/>
          <w:sz w:val="28"/>
          <w:szCs w:val="28"/>
        </w:rPr>
      </w:pPr>
    </w:p>
    <w:p w:rsidR="00B256C6" w:rsidRDefault="00B256C6" w:rsidP="00B256C6">
      <w:pPr>
        <w:jc w:val="both"/>
        <w:rPr>
          <w:rFonts w:ascii="Avenir Black" w:hAnsi="Avenir Black" w:cs="Avenir Black"/>
          <w:b/>
          <w:bCs/>
          <w:sz w:val="28"/>
          <w:szCs w:val="28"/>
        </w:rPr>
      </w:pPr>
    </w:p>
    <w:p w:rsidR="00B256C6" w:rsidRPr="00B256C6" w:rsidRDefault="00B256C6" w:rsidP="00B256C6">
      <w:pPr>
        <w:jc w:val="both"/>
        <w:rPr>
          <w:rFonts w:ascii="Avenir Black" w:hAnsi="Avenir Black" w:cs="Avenir Black"/>
          <w:b/>
          <w:bCs/>
          <w:sz w:val="28"/>
          <w:szCs w:val="28"/>
        </w:rPr>
      </w:pPr>
    </w:p>
    <w:p w:rsidR="00B256C6" w:rsidRDefault="00B256C6" w:rsidP="00B256C6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</w:p>
    <w:p w:rsidR="00B256C6" w:rsidRPr="000C0DC5" w:rsidRDefault="00B256C6" w:rsidP="000C0DC5">
      <w:pPr>
        <w:jc w:val="center"/>
        <w:rPr>
          <w:rFonts w:ascii="Avenir Black" w:hAnsi="Avenir Black" w:cs="Avenir Black"/>
          <w:b/>
          <w:bCs/>
          <w:sz w:val="40"/>
          <w:szCs w:val="4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ECD754" wp14:editId="6A0D75B3">
            <wp:simplePos x="0" y="0"/>
            <wp:positionH relativeFrom="column">
              <wp:posOffset>-250190</wp:posOffset>
            </wp:positionH>
            <wp:positionV relativeFrom="paragraph">
              <wp:posOffset>403225</wp:posOffset>
            </wp:positionV>
            <wp:extent cx="1193800" cy="1028065"/>
            <wp:effectExtent l="0" t="0" r="0" b="0"/>
            <wp:wrapTopAndBottom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169391C" wp14:editId="5CC09BEC">
            <wp:simplePos x="0" y="0"/>
            <wp:positionH relativeFrom="column">
              <wp:posOffset>4747895</wp:posOffset>
            </wp:positionH>
            <wp:positionV relativeFrom="paragraph">
              <wp:posOffset>697230</wp:posOffset>
            </wp:positionV>
            <wp:extent cx="1374140" cy="379095"/>
            <wp:effectExtent l="0" t="0" r="0" b="0"/>
            <wp:wrapTopAndBottom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379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256C6" w:rsidRPr="000C0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C02" w:rsidRDefault="000C0D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C02" w:rsidRDefault="000C0D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C02" w:rsidRDefault="000C0DC5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1A" w:rsidRDefault="000C0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1A" w:rsidRDefault="000C0D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D1A" w:rsidRDefault="000C0D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C6"/>
    <w:rsid w:val="000C0DC5"/>
    <w:rsid w:val="00964B00"/>
    <w:rsid w:val="00B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173"/>
  <w15:chartTrackingRefBased/>
  <w15:docId w15:val="{78187D69-F38A-C248-A63A-6A185399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C6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256C6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256C6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B256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256C6"/>
    <w:rPr>
      <w:rFonts w:ascii="Times New Roman" w:eastAsia="Arial Unicode MS" w:hAnsi="Times New Roman" w:cs="Mangal"/>
      <w:kern w:val="1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B256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256C6"/>
    <w:rPr>
      <w:rFonts w:ascii="Times New Roman" w:eastAsia="Arial Unicode MS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tiff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701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relecture</dc:creator>
  <cp:keywords/>
  <dc:description/>
  <cp:lastModifiedBy>relecture</cp:lastModifiedBy>
  <cp:revision>2</cp:revision>
  <dcterms:created xsi:type="dcterms:W3CDTF">2020-01-08T12:07:00Z</dcterms:created>
  <dcterms:modified xsi:type="dcterms:W3CDTF">2020-01-08T12:14:00Z</dcterms:modified>
</cp:coreProperties>
</file>